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4B3FDE74" w:rsidR="000331A6" w:rsidRPr="00925E0B" w:rsidRDefault="000331A6">
      <w:pPr>
        <w:rPr>
          <w:b/>
          <w:sz w:val="28"/>
          <w:szCs w:val="28"/>
        </w:rPr>
      </w:pPr>
      <w:r w:rsidRPr="00925E0B">
        <w:rPr>
          <w:b/>
          <w:sz w:val="28"/>
          <w:szCs w:val="28"/>
        </w:rPr>
        <w:t>PI Name:</w:t>
      </w:r>
      <w:r w:rsidR="00B55903">
        <w:rPr>
          <w:b/>
          <w:sz w:val="28"/>
          <w:szCs w:val="28"/>
        </w:rPr>
        <w:t xml:space="preserve"> </w:t>
      </w:r>
      <w:proofErr w:type="spellStart"/>
      <w:r w:rsidR="00B55903" w:rsidRPr="00221FCB">
        <w:rPr>
          <w:sz w:val="28"/>
          <w:szCs w:val="28"/>
        </w:rPr>
        <w:t>Vy</w:t>
      </w:r>
      <w:proofErr w:type="spellEnd"/>
      <w:r w:rsidR="00B55903" w:rsidRPr="00221FCB">
        <w:rPr>
          <w:sz w:val="28"/>
          <w:szCs w:val="28"/>
        </w:rPr>
        <w:t xml:space="preserve"> M. Dong and Faben Cruz</w:t>
      </w:r>
    </w:p>
    <w:p w14:paraId="51315A05" w14:textId="5734FC25" w:rsidR="000331A6" w:rsidRDefault="004F090F">
      <w:r w:rsidRPr="00C923D9">
        <w:rPr>
          <w:b/>
          <w:sz w:val="28"/>
        </w:rPr>
        <w:t>Organocatalysis</w:t>
      </w:r>
    </w:p>
    <w:p w14:paraId="5A3B8D45" w14:textId="77777777" w:rsidR="004F090F" w:rsidRDefault="000331A6">
      <w:pPr>
        <w:rPr>
          <w:b/>
          <w:sz w:val="28"/>
        </w:rPr>
      </w:pPr>
      <w:r w:rsidRPr="000331A6">
        <w:rPr>
          <w:b/>
          <w:sz w:val="28"/>
        </w:rPr>
        <w:t>Overview</w:t>
      </w:r>
    </w:p>
    <w:p w14:paraId="6D574A61" w14:textId="519BF59D" w:rsidR="000331A6" w:rsidRDefault="00AD5556">
      <w:r>
        <w:t>This experiment will demonstrate</w:t>
      </w:r>
      <w:r w:rsidR="008C448A">
        <w:t xml:space="preserve"> the concept of organocatalysis by illustrating the proper set up of a reaction that utilizes enamine catalysis.</w:t>
      </w:r>
      <w:r w:rsidR="004519EA">
        <w:t xml:space="preserve"> </w:t>
      </w:r>
      <w:r w:rsidR="0050726E">
        <w:t xml:space="preserve">Organocatalysis is a form of catalysis that uses </w:t>
      </w:r>
      <w:proofErr w:type="spellStart"/>
      <w:r w:rsidR="00CF1864">
        <w:t>substoichiometric</w:t>
      </w:r>
      <w:proofErr w:type="spellEnd"/>
      <w:r w:rsidR="00CF1864">
        <w:t xml:space="preserve"> amounts of </w:t>
      </w:r>
      <w:r w:rsidR="0050726E">
        <w:t>small organic molecules</w:t>
      </w:r>
      <w:r w:rsidR="00CF1864">
        <w:t xml:space="preserve"> to accelerate reactions.</w:t>
      </w:r>
      <w:r w:rsidR="0050726E">
        <w:t xml:space="preserve"> This type of catalysis is complementary to other forms of catalysis such as transition metal or </w:t>
      </w:r>
      <w:proofErr w:type="spellStart"/>
      <w:r w:rsidR="0050726E">
        <w:t>biocatalysis</w:t>
      </w:r>
      <w:proofErr w:type="spellEnd"/>
      <w:r w:rsidR="0050726E">
        <w:t xml:space="preserve">. Transition metal catalysis involves transition metals as catalysts and </w:t>
      </w:r>
      <w:proofErr w:type="spellStart"/>
      <w:r w:rsidR="0050726E">
        <w:t>biocatalysis</w:t>
      </w:r>
      <w:proofErr w:type="spellEnd"/>
      <w:r w:rsidR="0050726E">
        <w:t xml:space="preserve"> uses enzymes as catalysts. Some advantages of organocatalysis include the low toxicity and cost of the organocatalysts in comparison to many metal catalysts. In addition, most organocatalysts are not sensitive to air and moisture, unlike metal catalysts. In contrast to enzymes found in living organisms, the small molecules that act as organocatalysts are typically easy to access. Furthermore, organocatalysis offers complementary and new reactivity not observed with other forms of catalysis.  </w:t>
      </w:r>
    </w:p>
    <w:p w14:paraId="48CD5FE7" w14:textId="63CD79F3" w:rsidR="00B84DE8" w:rsidRDefault="00B84DE8" w:rsidP="00182CC8">
      <w:r>
        <w:rPr>
          <w:b/>
          <w:sz w:val="28"/>
          <w:szCs w:val="28"/>
        </w:rPr>
        <w:t xml:space="preserve">Principles </w:t>
      </w:r>
    </w:p>
    <w:p w14:paraId="70F73E2A" w14:textId="68B056EA" w:rsidR="00C441F2" w:rsidRDefault="004639C2" w:rsidP="00182CC8">
      <w:pPr>
        <w:rPr>
          <w:rFonts w:ascii="Cambria" w:hAnsi="Cambria"/>
        </w:rPr>
      </w:pPr>
      <w:r>
        <w:t>Organocataly</w:t>
      </w:r>
      <w:r w:rsidR="00B50F7C">
        <w:t>sts</w:t>
      </w:r>
      <w:r>
        <w:t xml:space="preserve"> can be divided into four categories based on the type of catalyst. Most organocatalysts </w:t>
      </w:r>
      <w:r w:rsidR="00CA7AFB">
        <w:t xml:space="preserve">can be described as Lewis bases, Lewis acids, </w:t>
      </w:r>
      <w:proofErr w:type="spellStart"/>
      <w:r w:rsidR="00CA7AFB">
        <w:t>Br</w:t>
      </w:r>
      <w:r w:rsidR="00CA7AFB">
        <w:rPr>
          <w:rFonts w:ascii="Cambria" w:hAnsi="Cambria"/>
        </w:rPr>
        <w:t>onsted</w:t>
      </w:r>
      <w:proofErr w:type="spellEnd"/>
      <w:r w:rsidR="00CA7AFB">
        <w:rPr>
          <w:rFonts w:ascii="Cambria" w:hAnsi="Cambria"/>
        </w:rPr>
        <w:t xml:space="preserve"> bases, or </w:t>
      </w:r>
      <w:proofErr w:type="spellStart"/>
      <w:r w:rsidR="00CA7AFB">
        <w:rPr>
          <w:rFonts w:ascii="Cambria" w:hAnsi="Cambria"/>
        </w:rPr>
        <w:t>Bronsted</w:t>
      </w:r>
      <w:proofErr w:type="spellEnd"/>
      <w:r w:rsidR="00CA7AFB">
        <w:rPr>
          <w:rFonts w:ascii="Cambria" w:hAnsi="Cambria"/>
        </w:rPr>
        <w:t xml:space="preserve"> acids. </w:t>
      </w:r>
      <w:r w:rsidR="00F510C2">
        <w:rPr>
          <w:rFonts w:ascii="Cambria" w:hAnsi="Cambria"/>
        </w:rPr>
        <w:t xml:space="preserve">These organocatalyst categories describe the mode of activation by which the catalyst acts to facilitate catalysis. In addition to these different modes of activation, organocatalysts can interact </w:t>
      </w:r>
      <w:r w:rsidR="00B50F7C">
        <w:rPr>
          <w:rFonts w:ascii="Cambria" w:hAnsi="Cambria"/>
        </w:rPr>
        <w:t xml:space="preserve">with </w:t>
      </w:r>
      <w:r w:rsidR="00F510C2">
        <w:rPr>
          <w:rFonts w:ascii="Cambria" w:hAnsi="Cambria"/>
        </w:rPr>
        <w:t xml:space="preserve">substrates via covalent or non-covalent interactions. Both of which have their advantages and disadvantages. Typically, covalent interactions are easier to control and thus predict. Oftentimes, catalysts that take advantage of non-covalent interactions require lower catalyst loadings in comparison to those that operate via covalent interactions. </w:t>
      </w:r>
    </w:p>
    <w:p w14:paraId="5A6A3C76" w14:textId="0C7D4FEB" w:rsidR="00F647B6" w:rsidRDefault="00C441F2" w:rsidP="007E718F">
      <w:pPr>
        <w:rPr>
          <w:rFonts w:ascii="Cambria" w:hAnsi="Cambria"/>
        </w:rPr>
      </w:pPr>
      <w:r>
        <w:rPr>
          <w:rFonts w:ascii="Cambria" w:hAnsi="Cambria"/>
        </w:rPr>
        <w:t xml:space="preserve">Lewis bases, especially amines, are the most common type of organocatalyst. Several types of reactivity have been achieved by only using an amine catalyst. For example, </w:t>
      </w:r>
      <w:r w:rsidR="00A50CCB">
        <w:rPr>
          <w:rFonts w:ascii="Cambria" w:hAnsi="Cambria"/>
        </w:rPr>
        <w:t xml:space="preserve">the nucleophilicity of nucleophiles can be accentuated via enamine catalysis to perform </w:t>
      </w:r>
      <w:r w:rsidR="00B50F7C">
        <w:rPr>
          <w:rFonts w:ascii="Cambria" w:hAnsi="Cambria"/>
        </w:rPr>
        <w:t xml:space="preserve">selective </w:t>
      </w:r>
      <w:r w:rsidR="00A50CCB">
        <w:rPr>
          <w:rFonts w:ascii="Cambria" w:hAnsi="Cambria"/>
        </w:rPr>
        <w:t xml:space="preserve">alkylations or aldol reactions. Amine-based catalysts can also improve the </w:t>
      </w:r>
      <w:proofErr w:type="spellStart"/>
      <w:r w:rsidR="00A50CCB">
        <w:rPr>
          <w:rFonts w:ascii="Cambria" w:hAnsi="Cambria"/>
        </w:rPr>
        <w:t>electrophilicity</w:t>
      </w:r>
      <w:proofErr w:type="spellEnd"/>
      <w:r w:rsidR="00A50CCB">
        <w:rPr>
          <w:rFonts w:ascii="Cambria" w:hAnsi="Cambria"/>
        </w:rPr>
        <w:t xml:space="preserve"> of substrates via iminium catalysis to promote Michael additions or cycloadditions. Amine-based catalysts can even be used as phase-transfer catalysts to mediate reactions between two media phases. </w:t>
      </w:r>
    </w:p>
    <w:p w14:paraId="2A6F042E" w14:textId="1204C10C" w:rsidR="00141012" w:rsidRDefault="00B26A68" w:rsidP="00141012">
      <w:pPr>
        <w:jc w:val="center"/>
        <w:rPr>
          <w:rFonts w:ascii="Cambria" w:hAnsi="Cambria"/>
        </w:rPr>
      </w:pPr>
      <w:r>
        <w:rPr>
          <w:rFonts w:ascii="Cambria" w:hAnsi="Cambria"/>
          <w:noProof/>
        </w:rPr>
        <w:t>(insert figure 1)</w:t>
      </w:r>
    </w:p>
    <w:p w14:paraId="0D612C0E" w14:textId="5B6E9B09" w:rsidR="004639C2" w:rsidRDefault="003B3878" w:rsidP="00182CC8">
      <w:pPr>
        <w:rPr>
          <w:rFonts w:ascii="Cambria" w:hAnsi="Cambria"/>
        </w:rPr>
      </w:pPr>
      <w:r>
        <w:rPr>
          <w:rFonts w:ascii="Cambria" w:hAnsi="Cambria"/>
        </w:rPr>
        <w:t>In addition to substrate activation, these catalysts can also introduce chirality into the products they form</w:t>
      </w:r>
      <w:r w:rsidR="002C4F0E">
        <w:rPr>
          <w:rFonts w:ascii="Cambria" w:hAnsi="Cambria"/>
        </w:rPr>
        <w:t>, in a concept called asymmetric catalysis. One of the first examples of asymmetric organocatalysis used a chiral amino acid, proline, to catalyze an Aldol reaction (Figure</w:t>
      </w:r>
      <w:r w:rsidR="00B26A68">
        <w:rPr>
          <w:rFonts w:ascii="Cambria" w:hAnsi="Cambria"/>
        </w:rPr>
        <w:t xml:space="preserve"> 1</w:t>
      </w:r>
      <w:r w:rsidR="002C4F0E">
        <w:rPr>
          <w:rFonts w:ascii="Cambria" w:hAnsi="Cambria"/>
        </w:rPr>
        <w:t xml:space="preserve">). </w:t>
      </w:r>
      <w:r w:rsidR="00D10755">
        <w:rPr>
          <w:rFonts w:ascii="Cambria" w:hAnsi="Cambria"/>
        </w:rPr>
        <w:t xml:space="preserve">Proline condenses onto one of the ketones to generate a chiral enamine. In doing so, the organocatalyst generates a stronger nucleophile and introduces chirality such that the Aldol reaction can </w:t>
      </w:r>
      <w:r w:rsidR="0073329B">
        <w:rPr>
          <w:rFonts w:ascii="Cambria" w:hAnsi="Cambria"/>
        </w:rPr>
        <w:t xml:space="preserve">be stereoselective. The depicted example is of the </w:t>
      </w:r>
      <w:proofErr w:type="spellStart"/>
      <w:r w:rsidR="0073329B">
        <w:rPr>
          <w:rFonts w:ascii="Cambria" w:hAnsi="Cambria"/>
        </w:rPr>
        <w:t>Hajos</w:t>
      </w:r>
      <w:proofErr w:type="spellEnd"/>
      <w:r w:rsidR="0073329B">
        <w:rPr>
          <w:rFonts w:ascii="Cambria" w:hAnsi="Cambria"/>
        </w:rPr>
        <w:t>-Parrish-</w:t>
      </w:r>
      <w:r w:rsidR="0073329B">
        <w:rPr>
          <w:rFonts w:ascii="Cambria" w:hAnsi="Cambria"/>
        </w:rPr>
        <w:lastRenderedPageBreak/>
        <w:t>Eder-Sauer-</w:t>
      </w:r>
      <w:proofErr w:type="spellStart"/>
      <w:r w:rsidR="0073329B">
        <w:rPr>
          <w:rFonts w:ascii="Cambria" w:hAnsi="Cambria"/>
        </w:rPr>
        <w:t>Wiechert</w:t>
      </w:r>
      <w:proofErr w:type="spellEnd"/>
      <w:r w:rsidR="0073329B">
        <w:rPr>
          <w:rFonts w:ascii="Cambria" w:hAnsi="Cambria"/>
        </w:rPr>
        <w:t xml:space="preserve"> reaction. The product of this reaction is an important precursor for the synthesis steroid natural products and their derivatives.</w:t>
      </w:r>
      <w:r w:rsidR="002C4F0E">
        <w:rPr>
          <w:rFonts w:ascii="Cambria" w:hAnsi="Cambria"/>
        </w:rPr>
        <w:t xml:space="preserve"> </w:t>
      </w:r>
    </w:p>
    <w:p w14:paraId="347CA2B5" w14:textId="77777777" w:rsidR="008D4B66" w:rsidRDefault="000331A6" w:rsidP="00182CC8">
      <w:pPr>
        <w:rPr>
          <w:sz w:val="28"/>
        </w:rPr>
      </w:pPr>
      <w:r w:rsidRPr="00467282">
        <w:rPr>
          <w:b/>
          <w:sz w:val="28"/>
        </w:rPr>
        <w:t>Procedure</w:t>
      </w:r>
    </w:p>
    <w:p w14:paraId="09E4F3B8" w14:textId="6982A39F" w:rsidR="00467282" w:rsidRDefault="00DD3C49" w:rsidP="00700563">
      <w:pPr>
        <w:jc w:val="center"/>
      </w:pPr>
      <w:r w:rsidRPr="00DD3C49">
        <w:rPr>
          <w:noProof/>
        </w:rPr>
        <w:drawing>
          <wp:inline distT="0" distB="0" distL="0" distR="0" wp14:anchorId="44E85E2F" wp14:editId="55496604">
            <wp:extent cx="4032504" cy="786384"/>
            <wp:effectExtent l="0" t="0" r="635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32504" cy="786384"/>
                    </a:xfrm>
                    <a:prstGeom prst="rect">
                      <a:avLst/>
                    </a:prstGeom>
                  </pic:spPr>
                </pic:pic>
              </a:graphicData>
            </a:graphic>
          </wp:inline>
        </w:drawing>
      </w:r>
    </w:p>
    <w:p w14:paraId="4C5B77DB" w14:textId="1380E154" w:rsidR="00700563" w:rsidRDefault="005C7FB5" w:rsidP="00700563">
      <w:pPr>
        <w:pStyle w:val="ListParagraph"/>
        <w:numPr>
          <w:ilvl w:val="0"/>
          <w:numId w:val="2"/>
        </w:numPr>
      </w:pPr>
      <w:r>
        <w:t>Add (</w:t>
      </w:r>
      <w:r>
        <w:rPr>
          <w:i/>
        </w:rPr>
        <w:t>S</w:t>
      </w:r>
      <w:r>
        <w:t>)-proline (</w:t>
      </w:r>
      <w:r w:rsidR="00F777E5">
        <w:t xml:space="preserve">40 mg, 0.35 </w:t>
      </w:r>
      <w:proofErr w:type="spellStart"/>
      <w:r w:rsidR="00F777E5">
        <w:t>mmol</w:t>
      </w:r>
      <w:proofErr w:type="spellEnd"/>
      <w:r w:rsidR="00F777E5">
        <w:t>, 0.35 equivalents</w:t>
      </w:r>
      <w:r>
        <w:t>), acetonitrile (</w:t>
      </w:r>
      <w:proofErr w:type="spellStart"/>
      <w:r>
        <w:t>MeCN</w:t>
      </w:r>
      <w:proofErr w:type="spellEnd"/>
      <w:r>
        <w:t xml:space="preserve">, 5 mL,), and the </w:t>
      </w:r>
      <w:proofErr w:type="spellStart"/>
      <w:r>
        <w:t>diketone</w:t>
      </w:r>
      <w:proofErr w:type="spellEnd"/>
      <w:r>
        <w:t xml:space="preserve"> (</w:t>
      </w:r>
      <w:r w:rsidR="007F0E11">
        <w:t>126 mg, 1</w:t>
      </w:r>
      <w:r w:rsidR="00F777E5">
        <w:t xml:space="preserve"> </w:t>
      </w:r>
      <w:proofErr w:type="spellStart"/>
      <w:r w:rsidR="007F0E11">
        <w:t>mmol</w:t>
      </w:r>
      <w:proofErr w:type="spellEnd"/>
      <w:r w:rsidR="007F0E11">
        <w:t>, 1 equivalent</w:t>
      </w:r>
      <w:r>
        <w:t>) to a round bottom flask (~20 mL) equipped with a magnetic stir bar.</w:t>
      </w:r>
    </w:p>
    <w:p w14:paraId="43E6C576" w14:textId="6380D3A5" w:rsidR="005C7FB5" w:rsidRDefault="005C7FB5" w:rsidP="00700563">
      <w:pPr>
        <w:pStyle w:val="ListParagraph"/>
        <w:numPr>
          <w:ilvl w:val="0"/>
          <w:numId w:val="2"/>
        </w:numPr>
      </w:pPr>
      <w:r>
        <w:t xml:space="preserve">Stir the reaction mixture at 35 </w:t>
      </w:r>
      <w:r>
        <w:sym w:font="Symbol" w:char="F0B0"/>
      </w:r>
      <w:r>
        <w:t>C for 30 minutes.</w:t>
      </w:r>
    </w:p>
    <w:p w14:paraId="45337E4B" w14:textId="3DE5CBA2" w:rsidR="005C7FB5" w:rsidRDefault="005C7FB5" w:rsidP="00700563">
      <w:pPr>
        <w:pStyle w:val="ListParagraph"/>
        <w:numPr>
          <w:ilvl w:val="0"/>
          <w:numId w:val="2"/>
        </w:numPr>
      </w:pPr>
      <w:r>
        <w:t>Then add 3-buten-2-one</w:t>
      </w:r>
      <w:r w:rsidR="00F777E5">
        <w:t xml:space="preserve"> (105 mg, 1.5 </w:t>
      </w:r>
      <w:proofErr w:type="spellStart"/>
      <w:r w:rsidR="00F777E5">
        <w:t>mmol</w:t>
      </w:r>
      <w:proofErr w:type="spellEnd"/>
      <w:r w:rsidR="00F777E5">
        <w:t>, 1.5 equivalents)</w:t>
      </w:r>
      <w:r>
        <w:t xml:space="preserve"> dropwise at 35 </w:t>
      </w:r>
      <w:r>
        <w:sym w:font="Symbol" w:char="F0B0"/>
      </w:r>
      <w:r>
        <w:t>C and stir at the same temperature for 1 week.</w:t>
      </w:r>
    </w:p>
    <w:p w14:paraId="49862271" w14:textId="43F38F9D" w:rsidR="005C7FB5" w:rsidRDefault="005C7FB5" w:rsidP="00700563">
      <w:pPr>
        <w:pStyle w:val="ListParagraph"/>
        <w:numPr>
          <w:ilvl w:val="0"/>
          <w:numId w:val="2"/>
        </w:numPr>
      </w:pPr>
      <w:r>
        <w:t>Cool the reaction to room temperature and quench</w:t>
      </w:r>
      <w:r w:rsidR="001A4A57">
        <w:t xml:space="preserve"> by adding ~5</w:t>
      </w:r>
      <w:r>
        <w:t xml:space="preserve"> mL of saturated aqueous ammonium chloride.</w:t>
      </w:r>
    </w:p>
    <w:p w14:paraId="42363111" w14:textId="3676EC73" w:rsidR="001A4A57" w:rsidRDefault="001A4A57" w:rsidP="00700563">
      <w:pPr>
        <w:pStyle w:val="ListParagraph"/>
        <w:numPr>
          <w:ilvl w:val="0"/>
          <w:numId w:val="2"/>
        </w:numPr>
      </w:pPr>
      <w:r>
        <w:t>Extract the aqueous layer with diethyl ether.</w:t>
      </w:r>
    </w:p>
    <w:p w14:paraId="71D93FF1" w14:textId="0D47890B" w:rsidR="001A4A57" w:rsidRDefault="001A4A57" w:rsidP="00700563">
      <w:pPr>
        <w:pStyle w:val="ListParagraph"/>
        <w:numPr>
          <w:ilvl w:val="0"/>
          <w:numId w:val="2"/>
        </w:numPr>
      </w:pPr>
      <w:r>
        <w:t>Wash the combined organic layers with brine and dry with anhydrous magnesium sulfate.</w:t>
      </w:r>
    </w:p>
    <w:p w14:paraId="0B59C0D6" w14:textId="05259645" w:rsidR="001A4A57" w:rsidRDefault="001A4A57" w:rsidP="00700563">
      <w:pPr>
        <w:pStyle w:val="ListParagraph"/>
        <w:numPr>
          <w:ilvl w:val="0"/>
          <w:numId w:val="2"/>
        </w:numPr>
      </w:pPr>
      <w:r>
        <w:t>Filter the magnesium sulfate and concentrate via rotatory evaporation.</w:t>
      </w:r>
    </w:p>
    <w:p w14:paraId="0C61206C" w14:textId="0E02900A" w:rsidR="001A4A57" w:rsidRDefault="001A4A57" w:rsidP="00700563">
      <w:pPr>
        <w:pStyle w:val="ListParagraph"/>
        <w:numPr>
          <w:ilvl w:val="0"/>
          <w:numId w:val="2"/>
        </w:numPr>
      </w:pPr>
      <w:r>
        <w:t>Purify the crude residue via column chromatography.</w:t>
      </w:r>
    </w:p>
    <w:p w14:paraId="2F66824E" w14:textId="004AB1ED" w:rsidR="00467282" w:rsidRDefault="00467282">
      <w:r w:rsidRPr="00467282">
        <w:rPr>
          <w:b/>
          <w:sz w:val="28"/>
        </w:rPr>
        <w:t>Representative Result</w:t>
      </w:r>
      <w:r w:rsidR="003E02E7">
        <w:rPr>
          <w:b/>
          <w:sz w:val="28"/>
        </w:rPr>
        <w:t>s</w:t>
      </w:r>
      <w:r>
        <w:rPr>
          <w:b/>
        </w:rPr>
        <w:t xml:space="preserve"> </w:t>
      </w:r>
    </w:p>
    <w:p w14:paraId="21B9B453" w14:textId="7637D915" w:rsidR="00450B09" w:rsidRPr="00450B09" w:rsidRDefault="00450B09" w:rsidP="00450B09">
      <w:pPr>
        <w:spacing w:after="0"/>
        <w:rPr>
          <w:rFonts w:eastAsia="Times New Roman" w:cs="Times New Roman"/>
        </w:rPr>
      </w:pPr>
      <w:r w:rsidRPr="00946B50">
        <w:rPr>
          <w:rFonts w:eastAsia="Times New Roman" w:cs="Times New Roman"/>
        </w:rPr>
        <w:t xml:space="preserve">The purified product should have the following </w:t>
      </w:r>
      <w:r w:rsidRPr="00946B50">
        <w:rPr>
          <w:rFonts w:eastAsia="Times New Roman" w:cs="Times New Roman"/>
          <w:vertAlign w:val="superscript"/>
        </w:rPr>
        <w:t>1</w:t>
      </w:r>
      <w:r w:rsidRPr="00946B50">
        <w:rPr>
          <w:rFonts w:eastAsia="Times New Roman" w:cs="Times New Roman"/>
        </w:rPr>
        <w:t xml:space="preserve">H NMR spectrum: </w:t>
      </w:r>
      <w:r w:rsidRPr="00450B09">
        <w:rPr>
          <w:rFonts w:eastAsia="Times New Roman" w:cs="Times New Roman"/>
          <w:vertAlign w:val="superscript"/>
        </w:rPr>
        <w:t>1</w:t>
      </w:r>
      <w:r w:rsidRPr="00946B50">
        <w:rPr>
          <w:rFonts w:eastAsia="Times New Roman" w:cs="Times New Roman"/>
        </w:rPr>
        <w:t>H NMR δ 5.88 (1H, s), 2.6-2.7 (2H, m), 2.3-2.55 (4H, m), 2.0-2.2 (2H, m), 1.6-1.8 (2H, m), 1.4 (3H, s</w:t>
      </w:r>
      <w:r w:rsidRPr="00450B09">
        <w:rPr>
          <w:rFonts w:eastAsia="Times New Roman" w:cs="Times New Roman"/>
        </w:rPr>
        <w:t xml:space="preserve">). </w:t>
      </w:r>
    </w:p>
    <w:p w14:paraId="4C989369" w14:textId="77777777" w:rsidR="008D4B66" w:rsidRDefault="008D4B66"/>
    <w:p w14:paraId="12D66DFA" w14:textId="145BF379" w:rsidR="009311DE" w:rsidRDefault="009311DE" w:rsidP="009311DE">
      <w:r>
        <w:rPr>
          <w:b/>
          <w:sz w:val="28"/>
        </w:rPr>
        <w:t xml:space="preserve">Summary </w:t>
      </w:r>
    </w:p>
    <w:p w14:paraId="26982008" w14:textId="21520BEC" w:rsidR="008D4B66" w:rsidRDefault="001D4947" w:rsidP="009311DE">
      <w:r>
        <w:t xml:space="preserve">This experiment has demonstrated how to set up </w:t>
      </w:r>
      <w:r w:rsidR="004642CE">
        <w:t xml:space="preserve">an enamine catalyzed reaction. Compared to other forms of catalysis, organocatalysis is a relatively young field of research. But in recent years the field of organocatalysis has experienced dramatic growth. </w:t>
      </w:r>
      <w:r w:rsidR="00B1547A">
        <w:t>The increased interest in organocatalysis</w:t>
      </w:r>
      <w:r w:rsidR="004642CE">
        <w:t xml:space="preserve"> </w:t>
      </w:r>
      <w:r w:rsidR="00B1547A">
        <w:t xml:space="preserve">has also given rise to research that makes use of more than one type of catalysis to achieve new types of reactivity. For example, in recent years there has been increased reports of using organocatalysis in conjunction with transition metal catalysis. </w:t>
      </w:r>
    </w:p>
    <w:p w14:paraId="333EAB3A" w14:textId="77777777" w:rsidR="00B80875" w:rsidRPr="00D0033C" w:rsidRDefault="00B80875" w:rsidP="009311DE"/>
    <w:p w14:paraId="4F6939AC" w14:textId="351199CA" w:rsidR="009311DE" w:rsidRDefault="009311DE" w:rsidP="008D4B66">
      <w:r w:rsidRPr="0051701C">
        <w:rPr>
          <w:b/>
          <w:sz w:val="28"/>
        </w:rPr>
        <w:t>Applications</w:t>
      </w:r>
      <w:r w:rsidR="00FC1C9F">
        <w:t xml:space="preserve"> </w:t>
      </w:r>
    </w:p>
    <w:p w14:paraId="7F45ADC6" w14:textId="06BD31D4" w:rsidR="008D4B66" w:rsidRDefault="00B76990" w:rsidP="008D4B66">
      <w:r>
        <w:t>Asymmetric organocatalysis has been used to improve</w:t>
      </w:r>
      <w:r w:rsidR="009245CB">
        <w:t xml:space="preserve"> the synthesis of warfarin, a common anti-coagulant. The previous synthetic route relied upon chemical resolution (an inherently wasteful process) of the racemic mixture to afford the more active enantiomer (</w:t>
      </w:r>
      <w:r w:rsidR="009245CB">
        <w:rPr>
          <w:i/>
        </w:rPr>
        <w:t>S</w:t>
      </w:r>
      <w:r w:rsidR="009245CB">
        <w:t xml:space="preserve">)-warfarin </w:t>
      </w:r>
      <w:r w:rsidR="009245CB">
        <w:lastRenderedPageBreak/>
        <w:t>in 19% yield. Now with the aid of asymmetric organocatalysis (</w:t>
      </w:r>
      <w:r w:rsidR="009245CB">
        <w:rPr>
          <w:i/>
        </w:rPr>
        <w:t>S</w:t>
      </w:r>
      <w:r w:rsidR="009245CB">
        <w:t>)-warfarin can now be accessed without chemical resolution in 99% yield</w:t>
      </w:r>
      <w:r w:rsidR="00E23DCF">
        <w:t xml:space="preserve"> </w:t>
      </w:r>
      <w:r w:rsidR="00E23DCF">
        <w:rPr>
          <w:i/>
        </w:rPr>
        <w:t>via</w:t>
      </w:r>
      <w:r w:rsidR="00E23DCF">
        <w:t xml:space="preserve"> iminium catalysis</w:t>
      </w:r>
      <w:r w:rsidR="009245CB">
        <w:t xml:space="preserve">. </w:t>
      </w:r>
    </w:p>
    <w:p w14:paraId="68128BA5" w14:textId="2487C186" w:rsidR="00482B36" w:rsidRDefault="00B26A68" w:rsidP="00482B36">
      <w:pPr>
        <w:jc w:val="center"/>
      </w:pPr>
      <w:r>
        <w:rPr>
          <w:noProof/>
        </w:rPr>
        <w:t>(insert figure 2)</w:t>
      </w:r>
    </w:p>
    <w:p w14:paraId="1BE381D0" w14:textId="098EC462" w:rsidR="004E5678" w:rsidRDefault="00E23DCF" w:rsidP="00E23DCF">
      <w:r>
        <w:t xml:space="preserve">The antiviral medication, </w:t>
      </w:r>
      <w:proofErr w:type="gramStart"/>
      <w:r>
        <w:t>Tamiflu, that</w:t>
      </w:r>
      <w:proofErr w:type="gramEnd"/>
      <w:r>
        <w:t xml:space="preserve"> is used to treat the flu has been synthesized using organocatalysis. This synthesis makes use of a common type of </w:t>
      </w:r>
      <w:proofErr w:type="spellStart"/>
      <w:r>
        <w:t>organocatalyst</w:t>
      </w:r>
      <w:proofErr w:type="spellEnd"/>
      <w:r>
        <w:t xml:space="preserve">, a </w:t>
      </w:r>
      <w:proofErr w:type="spellStart"/>
      <w:r>
        <w:t>prolinol</w:t>
      </w:r>
      <w:proofErr w:type="spellEnd"/>
      <w:r>
        <w:t>-derived catalyst. The organocatalyzed Michael addition sets two out of the three necessary stereocenters found in Tamiflu.</w:t>
      </w:r>
      <w:r w:rsidR="00105509">
        <w:t xml:space="preserve"> </w:t>
      </w:r>
    </w:p>
    <w:p w14:paraId="661CDB5F" w14:textId="77777777" w:rsidR="00E23DCF" w:rsidRDefault="00E23DCF" w:rsidP="00E23DCF"/>
    <w:p w14:paraId="5E014083" w14:textId="3D68428E" w:rsidR="00E23DCF" w:rsidRDefault="00B26A68" w:rsidP="00E23DCF">
      <w:pPr>
        <w:jc w:val="center"/>
        <w:rPr>
          <w:noProof/>
        </w:rPr>
      </w:pPr>
      <w:r>
        <w:rPr>
          <w:noProof/>
        </w:rPr>
        <w:t>(insert figure 3)</w:t>
      </w:r>
    </w:p>
    <w:p w14:paraId="1E5460AB" w14:textId="77777777" w:rsidR="0056481F" w:rsidRDefault="0056481F" w:rsidP="00E23DCF">
      <w:pPr>
        <w:jc w:val="center"/>
        <w:rPr>
          <w:noProof/>
        </w:rPr>
      </w:pPr>
    </w:p>
    <w:p w14:paraId="260D45E2" w14:textId="0C8DF254" w:rsidR="0056481F" w:rsidRDefault="0056481F" w:rsidP="0056481F">
      <w:pPr>
        <w:rPr>
          <w:noProof/>
        </w:rPr>
      </w:pPr>
      <w:r>
        <w:rPr>
          <w:noProof/>
        </w:rPr>
        <w:t>Legend</w:t>
      </w:r>
    </w:p>
    <w:p w14:paraId="663EA6B2" w14:textId="030254CE" w:rsidR="0056481F" w:rsidRDefault="0056481F" w:rsidP="0056481F">
      <w:pPr>
        <w:rPr>
          <w:noProof/>
        </w:rPr>
      </w:pPr>
      <w:r>
        <w:rPr>
          <w:noProof/>
        </w:rPr>
        <w:t xml:space="preserve">Figure 1: </w:t>
      </w:r>
      <w:r>
        <w:rPr>
          <w:rFonts w:ascii="Cambria" w:hAnsi="Cambria"/>
        </w:rPr>
        <w:t xml:space="preserve">One of the first examples of asymmetric </w:t>
      </w:r>
      <w:proofErr w:type="spellStart"/>
      <w:r>
        <w:rPr>
          <w:rFonts w:ascii="Cambria" w:hAnsi="Cambria"/>
        </w:rPr>
        <w:t>organocatalysis</w:t>
      </w:r>
      <w:proofErr w:type="spellEnd"/>
      <w:r>
        <w:rPr>
          <w:rFonts w:ascii="Cambria" w:hAnsi="Cambria"/>
        </w:rPr>
        <w:t xml:space="preserve"> used a chiral amino acid, proline, to catalyze an Aldol reaction</w:t>
      </w:r>
    </w:p>
    <w:p w14:paraId="3C963710" w14:textId="1BF126AA" w:rsidR="0056481F" w:rsidRDefault="0056481F" w:rsidP="0056481F">
      <w:pPr>
        <w:rPr>
          <w:noProof/>
        </w:rPr>
      </w:pPr>
      <w:r>
        <w:rPr>
          <w:noProof/>
        </w:rPr>
        <w:t xml:space="preserve">Figure 2: </w:t>
      </w:r>
      <w:r w:rsidR="008367DF">
        <w:t>(</w:t>
      </w:r>
      <w:r w:rsidR="008367DF">
        <w:rPr>
          <w:i/>
        </w:rPr>
        <w:t>S</w:t>
      </w:r>
      <w:r w:rsidR="008367DF">
        <w:t>)-warfarin</w:t>
      </w:r>
      <w:bookmarkStart w:id="0" w:name="_GoBack"/>
      <w:bookmarkEnd w:id="0"/>
    </w:p>
    <w:p w14:paraId="0D40C051" w14:textId="77777777" w:rsidR="008367DF" w:rsidRDefault="0056481F" w:rsidP="008367DF">
      <w:pPr>
        <w:rPr>
          <w:noProof/>
        </w:rPr>
      </w:pPr>
      <w:r>
        <w:rPr>
          <w:noProof/>
        </w:rPr>
        <w:t>Figure 3</w:t>
      </w:r>
      <w:r>
        <w:t xml:space="preserve">: </w:t>
      </w:r>
      <w:r w:rsidR="008367DF">
        <w:t>The antiviral medication, Tamiflu</w:t>
      </w:r>
    </w:p>
    <w:p w14:paraId="35EEDAD2" w14:textId="3626E58A" w:rsidR="0056481F" w:rsidRPr="0056481F" w:rsidRDefault="0056481F" w:rsidP="0056481F"/>
    <w:sectPr w:rsidR="0056481F" w:rsidRPr="0056481F"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C0D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C1103A7"/>
    <w:multiLevelType w:val="hybridMultilevel"/>
    <w:tmpl w:val="7B4A6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NjK3NDQ3tDQ3NjZQ0lEKTi0uzszPAykwrAUAfrGR+iwAAAA="/>
  </w:docVars>
  <w:rsids>
    <w:rsidRoot w:val="000331A6"/>
    <w:rsid w:val="000331A6"/>
    <w:rsid w:val="00040633"/>
    <w:rsid w:val="000430DC"/>
    <w:rsid w:val="000512AE"/>
    <w:rsid w:val="000550AD"/>
    <w:rsid w:val="000920FB"/>
    <w:rsid w:val="000B1046"/>
    <w:rsid w:val="000B6A03"/>
    <w:rsid w:val="00102FEA"/>
    <w:rsid w:val="00105021"/>
    <w:rsid w:val="00105509"/>
    <w:rsid w:val="00141012"/>
    <w:rsid w:val="001828CA"/>
    <w:rsid w:val="00182B4B"/>
    <w:rsid w:val="00182CC8"/>
    <w:rsid w:val="001A4A57"/>
    <w:rsid w:val="001D4947"/>
    <w:rsid w:val="002005C9"/>
    <w:rsid w:val="00274EAD"/>
    <w:rsid w:val="002C4F0E"/>
    <w:rsid w:val="00300BA6"/>
    <w:rsid w:val="0032412D"/>
    <w:rsid w:val="003722EC"/>
    <w:rsid w:val="00392018"/>
    <w:rsid w:val="003B3878"/>
    <w:rsid w:val="003C027B"/>
    <w:rsid w:val="003E02E7"/>
    <w:rsid w:val="004221BF"/>
    <w:rsid w:val="00450B09"/>
    <w:rsid w:val="004519EA"/>
    <w:rsid w:val="004639C2"/>
    <w:rsid w:val="004642CE"/>
    <w:rsid w:val="00467282"/>
    <w:rsid w:val="00482B36"/>
    <w:rsid w:val="004A1058"/>
    <w:rsid w:val="004A1B00"/>
    <w:rsid w:val="004E5678"/>
    <w:rsid w:val="004F090F"/>
    <w:rsid w:val="0050726E"/>
    <w:rsid w:val="0051701C"/>
    <w:rsid w:val="005525A0"/>
    <w:rsid w:val="005546C8"/>
    <w:rsid w:val="0056046C"/>
    <w:rsid w:val="00560984"/>
    <w:rsid w:val="0056481F"/>
    <w:rsid w:val="00583BBA"/>
    <w:rsid w:val="00587541"/>
    <w:rsid w:val="005C7FB5"/>
    <w:rsid w:val="00641101"/>
    <w:rsid w:val="00681DE9"/>
    <w:rsid w:val="006B073D"/>
    <w:rsid w:val="006B571C"/>
    <w:rsid w:val="006C493D"/>
    <w:rsid w:val="006E76F5"/>
    <w:rsid w:val="00700563"/>
    <w:rsid w:val="00701418"/>
    <w:rsid w:val="0073329B"/>
    <w:rsid w:val="00740DB0"/>
    <w:rsid w:val="00750056"/>
    <w:rsid w:val="00760C9B"/>
    <w:rsid w:val="00795EF4"/>
    <w:rsid w:val="007A498B"/>
    <w:rsid w:val="007A6FDA"/>
    <w:rsid w:val="007E718F"/>
    <w:rsid w:val="007F0E11"/>
    <w:rsid w:val="007F3E1C"/>
    <w:rsid w:val="00821F68"/>
    <w:rsid w:val="00833C67"/>
    <w:rsid w:val="008367DF"/>
    <w:rsid w:val="0083788C"/>
    <w:rsid w:val="008C448A"/>
    <w:rsid w:val="008D4B66"/>
    <w:rsid w:val="00903A4F"/>
    <w:rsid w:val="00910DB4"/>
    <w:rsid w:val="009245CB"/>
    <w:rsid w:val="00925E0B"/>
    <w:rsid w:val="0092693F"/>
    <w:rsid w:val="009311DE"/>
    <w:rsid w:val="00946B50"/>
    <w:rsid w:val="00970760"/>
    <w:rsid w:val="00973E64"/>
    <w:rsid w:val="00977D94"/>
    <w:rsid w:val="009C5CD4"/>
    <w:rsid w:val="00A10E92"/>
    <w:rsid w:val="00A24F6E"/>
    <w:rsid w:val="00A50CCB"/>
    <w:rsid w:val="00AA6C55"/>
    <w:rsid w:val="00AB0BBF"/>
    <w:rsid w:val="00AD5556"/>
    <w:rsid w:val="00AF68EB"/>
    <w:rsid w:val="00B1547A"/>
    <w:rsid w:val="00B26A68"/>
    <w:rsid w:val="00B3305B"/>
    <w:rsid w:val="00B50F7C"/>
    <w:rsid w:val="00B55903"/>
    <w:rsid w:val="00B604D7"/>
    <w:rsid w:val="00B76990"/>
    <w:rsid w:val="00B80875"/>
    <w:rsid w:val="00B84DE8"/>
    <w:rsid w:val="00B9099D"/>
    <w:rsid w:val="00B92A74"/>
    <w:rsid w:val="00BD6C04"/>
    <w:rsid w:val="00BE1343"/>
    <w:rsid w:val="00C0313C"/>
    <w:rsid w:val="00C124F6"/>
    <w:rsid w:val="00C141BA"/>
    <w:rsid w:val="00C441F2"/>
    <w:rsid w:val="00C923D9"/>
    <w:rsid w:val="00CA7AFB"/>
    <w:rsid w:val="00CF1864"/>
    <w:rsid w:val="00D0033C"/>
    <w:rsid w:val="00D10755"/>
    <w:rsid w:val="00D172B5"/>
    <w:rsid w:val="00DB0B36"/>
    <w:rsid w:val="00DC16E3"/>
    <w:rsid w:val="00DD2B35"/>
    <w:rsid w:val="00DD3C49"/>
    <w:rsid w:val="00E05207"/>
    <w:rsid w:val="00E13596"/>
    <w:rsid w:val="00E23DCF"/>
    <w:rsid w:val="00E62346"/>
    <w:rsid w:val="00E63020"/>
    <w:rsid w:val="00E96152"/>
    <w:rsid w:val="00EE08A9"/>
    <w:rsid w:val="00EF2419"/>
    <w:rsid w:val="00F2489A"/>
    <w:rsid w:val="00F427F5"/>
    <w:rsid w:val="00F510C2"/>
    <w:rsid w:val="00F55D38"/>
    <w:rsid w:val="00F647B6"/>
    <w:rsid w:val="00F777E5"/>
    <w:rsid w:val="00FC1C9F"/>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7005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7005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88241089">
      <w:bodyDiv w:val="1"/>
      <w:marLeft w:val="0"/>
      <w:marRight w:val="0"/>
      <w:marTop w:val="0"/>
      <w:marBottom w:val="0"/>
      <w:divBdr>
        <w:top w:val="none" w:sz="0" w:space="0" w:color="auto"/>
        <w:left w:val="none" w:sz="0" w:space="0" w:color="auto"/>
        <w:bottom w:val="none" w:sz="0" w:space="0" w:color="auto"/>
        <w:right w:val="none" w:sz="0" w:space="0" w:color="auto"/>
      </w:divBdr>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2A1DE-23DD-4FFB-B883-A3095D25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826</Words>
  <Characters>4712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18</cp:revision>
  <dcterms:created xsi:type="dcterms:W3CDTF">2016-07-14T23:57:00Z</dcterms:created>
  <dcterms:modified xsi:type="dcterms:W3CDTF">2016-08-15T18:57:00Z</dcterms:modified>
</cp:coreProperties>
</file>